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pPr w:leftFromText="180" w:rightFromText="180" w:vertAnchor="text" w:horzAnchor="margin" w:tblpXSpec="center" w:tblpY="5"/>
        <w:tblW w:w="13780" w:type="dxa"/>
        <w:tblLayout w:type="fixed"/>
        <w:tblLook w:val="04A0" w:firstRow="1" w:lastRow="0" w:firstColumn="1" w:lastColumn="0" w:noHBand="0" w:noVBand="1"/>
      </w:tblPr>
      <w:tblGrid>
        <w:gridCol w:w="2535"/>
        <w:gridCol w:w="4500"/>
        <w:gridCol w:w="2065"/>
        <w:gridCol w:w="4680"/>
      </w:tblGrid>
      <w:tr w:rsidR="00E23704" w:rsidRPr="00FF4F33" w:rsidTr="0029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4196" w:rsidRDefault="00654196" w:rsidP="00654196">
            <w:pPr>
              <w:pStyle w:val="Heading1"/>
              <w:spacing w:before="0"/>
              <w:jc w:val="left"/>
              <w:outlineLvl w:val="0"/>
              <w:rPr>
                <w:rFonts w:asciiTheme="minorHAnsi" w:hAnsiTheme="minorHAnsi"/>
                <w:b/>
                <w:szCs w:val="36"/>
              </w:rPr>
            </w:pPr>
            <w:bookmarkStart w:id="0" w:name="_Toc435418942"/>
            <w:r w:rsidRPr="00015880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30749FC" wp14:editId="39AE22D6">
                  <wp:simplePos x="0" y="0"/>
                  <wp:positionH relativeFrom="column">
                    <wp:posOffset>6415088</wp:posOffset>
                  </wp:positionH>
                  <wp:positionV relativeFrom="paragraph">
                    <wp:posOffset>59690</wp:posOffset>
                  </wp:positionV>
                  <wp:extent cx="2181225" cy="744855"/>
                  <wp:effectExtent l="0" t="0" r="9525" b="0"/>
                  <wp:wrapNone/>
                  <wp:docPr id="1" name="Picture 1" descr="J:\Mydocuments\SCDOA Seals\SCDOA 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ydocuments\SCDOA Seals\SCDOA 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196" w:rsidRDefault="00344A19" w:rsidP="00654196">
            <w:pPr>
              <w:pStyle w:val="Heading1"/>
              <w:spacing w:before="0"/>
              <w:jc w:val="left"/>
              <w:outlineLvl w:val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Cs w:val="36"/>
              </w:rPr>
              <w:t xml:space="preserve">AAA </w:t>
            </w:r>
            <w:r w:rsidR="00E23704" w:rsidRPr="007F5154">
              <w:rPr>
                <w:rFonts w:asciiTheme="minorHAnsi" w:hAnsiTheme="minorHAnsi"/>
                <w:b/>
                <w:szCs w:val="36"/>
              </w:rPr>
              <w:t>Monitoring</w:t>
            </w:r>
            <w:bookmarkEnd w:id="0"/>
            <w:r w:rsidR="00EA4BE8">
              <w:rPr>
                <w:rFonts w:asciiTheme="minorHAnsi" w:hAnsiTheme="minorHAnsi"/>
                <w:b/>
                <w:szCs w:val="36"/>
              </w:rPr>
              <w:t xml:space="preserve"> Tool</w:t>
            </w:r>
            <w:r w:rsidR="00F961BA">
              <w:rPr>
                <w:rFonts w:asciiTheme="minorHAnsi" w:hAnsiTheme="minorHAnsi"/>
                <w:b/>
                <w:szCs w:val="36"/>
              </w:rPr>
              <w:t xml:space="preserve">: </w:t>
            </w:r>
            <w:r w:rsidR="006821C6">
              <w:rPr>
                <w:rFonts w:asciiTheme="minorHAnsi" w:hAnsiTheme="minorHAnsi"/>
                <w:b/>
                <w:szCs w:val="36"/>
              </w:rPr>
              <w:t>III</w:t>
            </w:r>
            <w:r w:rsidR="00F961BA">
              <w:rPr>
                <w:rFonts w:asciiTheme="minorHAnsi" w:hAnsiTheme="minorHAnsi"/>
                <w:b/>
                <w:szCs w:val="36"/>
              </w:rPr>
              <w:t>-</w:t>
            </w:r>
            <w:r w:rsidR="006821C6">
              <w:rPr>
                <w:rFonts w:asciiTheme="minorHAnsi" w:hAnsiTheme="minorHAnsi"/>
                <w:b/>
                <w:szCs w:val="36"/>
              </w:rPr>
              <w:t>C</w:t>
            </w:r>
            <w:r w:rsidR="00F606A8">
              <w:rPr>
                <w:rFonts w:asciiTheme="minorHAnsi" w:hAnsiTheme="minorHAnsi"/>
                <w:b/>
                <w:szCs w:val="36"/>
              </w:rPr>
              <w:t>1 &amp; III-C2</w:t>
            </w:r>
            <w:bookmarkStart w:id="1" w:name="_GoBack"/>
            <w:bookmarkEnd w:id="1"/>
            <w:r w:rsidR="006821C6">
              <w:rPr>
                <w:rFonts w:asciiTheme="minorHAnsi" w:hAnsiTheme="minorHAnsi"/>
                <w:b/>
                <w:szCs w:val="36"/>
              </w:rPr>
              <w:t xml:space="preserve"> </w:t>
            </w:r>
            <w:r w:rsidR="003C7DC0">
              <w:rPr>
                <w:rFonts w:asciiTheme="minorHAnsi" w:hAnsiTheme="minorHAnsi"/>
                <w:b/>
                <w:sz w:val="28"/>
              </w:rPr>
              <w:t>(p. 1 – 4</w:t>
            </w:r>
            <w:r w:rsidR="00E82E0E" w:rsidRPr="00E82E0E">
              <w:rPr>
                <w:rFonts w:asciiTheme="minorHAnsi" w:hAnsiTheme="minorHAnsi"/>
                <w:b/>
                <w:sz w:val="28"/>
              </w:rPr>
              <w:t>)</w:t>
            </w:r>
          </w:p>
          <w:p w:rsidR="00E23704" w:rsidRPr="007F5154" w:rsidRDefault="00E23704" w:rsidP="00654196">
            <w:pPr>
              <w:pStyle w:val="Heading1"/>
              <w:spacing w:before="0"/>
              <w:jc w:val="left"/>
              <w:outlineLvl w:val="0"/>
              <w:rPr>
                <w:rFonts w:asciiTheme="minorHAnsi" w:hAnsiTheme="minorHAnsi"/>
                <w:b/>
                <w:szCs w:val="36"/>
              </w:rPr>
            </w:pP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344A1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  <w:tc>
          <w:tcPr>
            <w:tcW w:w="4500" w:type="dxa"/>
            <w:tcBorders>
              <w:top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24" w:space="0" w:color="000000" w:themeColor="text1"/>
            </w:tcBorders>
            <w:shd w:val="clear" w:color="auto" w:fill="auto"/>
            <w:hideMark/>
          </w:tcPr>
          <w:p w:rsidR="00E23704" w:rsidRPr="007710E7" w:rsidRDefault="00E23704" w:rsidP="00E53C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0E7">
              <w:rPr>
                <w:rFonts w:ascii="Calibri" w:eastAsia="Times New Roman" w:hAnsi="Calibri" w:cs="Times New Roman"/>
                <w:b/>
                <w:color w:val="000000"/>
              </w:rPr>
              <w:t xml:space="preserve">QA Monitor </w:t>
            </w:r>
          </w:p>
        </w:tc>
        <w:tc>
          <w:tcPr>
            <w:tcW w:w="4680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704" w:rsidRPr="00FF4F33" w:rsidTr="004D4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hideMark/>
          </w:tcPr>
          <w:p w:rsidR="00D21608" w:rsidRPr="00FF4F33" w:rsidRDefault="00E23704" w:rsidP="004D4B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 xml:space="preserve">Person(s) Interviewed </w:t>
            </w:r>
            <w:r w:rsidR="00D2160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500" w:type="dxa"/>
            <w:tcBorders>
              <w:bottom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bottom w:val="single" w:sz="24" w:space="0" w:color="000000" w:themeColor="text1"/>
            </w:tcBorders>
            <w:shd w:val="clear" w:color="auto" w:fill="auto"/>
            <w:hideMark/>
          </w:tcPr>
          <w:p w:rsidR="00E23704" w:rsidRPr="007710E7" w:rsidRDefault="00E23704" w:rsidP="00E53C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0E7">
              <w:rPr>
                <w:rFonts w:ascii="Calibri" w:eastAsia="Times New Roman" w:hAnsi="Calibri" w:cs="Times New Roman"/>
                <w:b/>
                <w:color w:val="000000"/>
              </w:rPr>
              <w:t>Monitoring Date(s)</w:t>
            </w:r>
          </w:p>
        </w:tc>
        <w:tc>
          <w:tcPr>
            <w:tcW w:w="468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CA3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396CA3" w:rsidRPr="00396CA3" w:rsidRDefault="00396CA3" w:rsidP="00344A19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396CA3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This tool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is to be used by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SCDOA and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QA staff to ensure that the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is compliant with applicable state and federal laws and regulations as well as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SCDOA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contract and policy requirements.  Space is provided below to monitor for additional areas of identified risk.  Because program impleme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ntation varies by district,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management and QA staff should review this to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ol and note areas where the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may have elected to delegate responsibilities to the provider(s).  Where responsibilities are delegated, QA staff should be sure to check for compliance of provider(s) with these responsibilities during provider monitoring.</w:t>
            </w:r>
          </w:p>
        </w:tc>
      </w:tr>
    </w:tbl>
    <w:tbl>
      <w:tblPr>
        <w:tblStyle w:val="LightGrid"/>
        <w:tblW w:w="13752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504"/>
        <w:gridCol w:w="504"/>
        <w:gridCol w:w="504"/>
        <w:gridCol w:w="4320"/>
        <w:gridCol w:w="3960"/>
      </w:tblGrid>
      <w:tr w:rsidR="00E23704" w:rsidRPr="00813951" w:rsidTr="0029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Monitoring Question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C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NC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NA</w:t>
            </w: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Notes</w:t>
            </w: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Monitoring Guidance and Standard Documentation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hideMark/>
          </w:tcPr>
          <w:p w:rsidR="00E23704" w:rsidRDefault="00E23704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Pr="00FF4F33">
              <w:rPr>
                <w:rFonts w:ascii="Calibri" w:eastAsia="Times New Roman" w:hAnsi="Calibri" w:cs="Times New Roman"/>
                <w:color w:val="000000"/>
              </w:rPr>
              <w:t>Are nutrition service contracts awarded through a bid process?</w:t>
            </w:r>
          </w:p>
          <w:p w:rsidR="00E23704" w:rsidRDefault="00E23704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23704" w:rsidRPr="00FF4F33" w:rsidRDefault="00923D6E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4</w:t>
            </w:r>
            <w:r w:rsidR="00C16FBE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00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, P. 84</w:t>
            </w:r>
            <w:r w:rsidR="004D4BDE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 (SEC. N)</w:t>
            </w:r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</w:tcBorders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eview the RFP, bid process, and sample of submitted bids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including winning bid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Check to ensure that RFP specs allowed for reasonable competition and that all eligible bids were evaluated fairly.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Pr="004D4BDE" w:rsidRDefault="004D4BDE" w:rsidP="004D4B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23412">
              <w:rPr>
                <w:rFonts w:ascii="Calibri" w:eastAsia="Times New Roman" w:hAnsi="Calibri" w:cs="Times New Roman"/>
                <w:color w:val="000000"/>
              </w:rPr>
              <w:t>. Does the AAA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 provide nutrition services directly?  If yes, has </w:t>
            </w:r>
            <w:r w:rsidR="00A23412">
              <w:rPr>
                <w:rFonts w:ascii="Calibri" w:eastAsia="Times New Roman" w:hAnsi="Calibri" w:cs="Times New Roman"/>
                <w:color w:val="000000"/>
              </w:rPr>
              <w:t xml:space="preserve">SCDOA provided written </w:t>
            </w:r>
            <w:proofErr w:type="gramStart"/>
            <w:r w:rsidR="00A23412">
              <w:rPr>
                <w:rFonts w:ascii="Calibri" w:eastAsia="Times New Roman" w:hAnsi="Calibri" w:cs="Times New Roman"/>
                <w:color w:val="000000"/>
              </w:rPr>
              <w:t>approval</w:t>
            </w:r>
            <w:r w:rsidR="000E0261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  <w:p w:rsidR="00E23704" w:rsidRPr="00FF4F33" w:rsidRDefault="00A23412" w:rsidP="00A2341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CH.4</w:t>
            </w:r>
            <w:r w:rsidR="00C16FBE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00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, P. 91</w:t>
            </w:r>
            <w:r w:rsidR="004D4BDE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 (SEC. 407)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513E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to ensure the following: t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 OAA requires that area agencies obtain permission from the state agency in order to provide direct services.  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Are required contr</w:t>
            </w:r>
            <w:r w:rsidR="00A55F51">
              <w:rPr>
                <w:rFonts w:ascii="Calibri" w:eastAsia="Times New Roman" w:hAnsi="Calibri" w:cs="Times New Roman"/>
                <w:color w:val="000000"/>
              </w:rPr>
              <w:t>act rates adhered to?</w:t>
            </w:r>
            <w:r w:rsidR="00A55F51">
              <w:rPr>
                <w:rFonts w:ascii="Calibri" w:eastAsia="Times New Roman" w:hAnsi="Calibri" w:cs="Times New Roman"/>
                <w:color w:val="000000"/>
              </w:rPr>
              <w:br/>
              <w:t>-Hot HDM $______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br/>
              <w:t>-Frozen HDM $</w:t>
            </w:r>
            <w:r w:rsidR="00A55F51">
              <w:rPr>
                <w:rFonts w:ascii="Calibri" w:eastAsia="Times New Roman" w:hAnsi="Calibri" w:cs="Times New Roman"/>
                <w:color w:val="000000"/>
              </w:rPr>
              <w:t>______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br/>
            </w:r>
            <w:r w:rsidR="00A55F51">
              <w:rPr>
                <w:rFonts w:ascii="Calibri" w:eastAsia="Times New Roman" w:hAnsi="Calibri" w:cs="Times New Roman"/>
                <w:color w:val="000000"/>
              </w:rPr>
              <w:t>-Congregate $______</w:t>
            </w:r>
          </w:p>
          <w:p w:rsidR="00E23704" w:rsidRPr="00FF4F33" w:rsidRDefault="00A55F51" w:rsidP="006F042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-Other ___________ $______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Supporting documentation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review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includes </w:t>
            </w:r>
            <w:r w:rsidR="00A55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meals in AIM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expenditure reports,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invoices.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These should reconcile to one another.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Pr="004D4BDE" w:rsidRDefault="004D4BDE" w:rsidP="004D4B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Do contracts with providers contain a clear scope of service inclu</w:t>
            </w:r>
            <w:r w:rsidR="007802D6">
              <w:rPr>
                <w:rFonts w:ascii="Calibri" w:eastAsia="Times New Roman" w:hAnsi="Calibri" w:cs="Times New Roman"/>
                <w:color w:val="000000"/>
              </w:rPr>
              <w:t>ding expected units of service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:rsidR="00E23704" w:rsidRPr="00FF4F33" w:rsidRDefault="00C16FBE" w:rsidP="00C16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400 P. 84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4D4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780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to ensure that </w:t>
            </w:r>
            <w:r w:rsidR="00C16F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the 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rovider contract or an appendix contains clearly stated scope of service.  This is critical to assurance that funds are expended appropriately.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Did the provider meet the contracted scope of service in the previous contract period?  If no, was there a penalty or plan of correction implemented?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7531F6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SCDOA PP </w:t>
            </w:r>
            <w:r w:rsidR="00C16FBE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CH. 400, P.84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C1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 last completed contract period, review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subrecipient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contracted scope of service and reported units of service in </w:t>
            </w:r>
            <w:r w:rsidR="00C16F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ensure that scope was met.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Are un</w:t>
            </w:r>
            <w:r w:rsidR="007531F6">
              <w:rPr>
                <w:rFonts w:ascii="Calibri" w:eastAsia="Times New Roman" w:hAnsi="Calibri" w:cs="Times New Roman"/>
                <w:color w:val="000000"/>
              </w:rPr>
              <w:t>its of service entered by the 10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th of the month following the month of delivery and clearly identified by site of delivery and type of meal corresponding to contracted meal types?</w:t>
            </w:r>
          </w:p>
          <w:p w:rsidR="00E23704" w:rsidRPr="00FF4F33" w:rsidRDefault="007531F6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500, P. 115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753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</w:t>
            </w:r>
            <w:r w:rsidR="00753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reporting to ensure that it is up to date through the most recent completed month and that meals are identified according to how they are contracted (e.g. hot, frozen, etc.).  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>
              <w:rPr>
                <w:rFonts w:ascii="Calibri" w:eastAsia="Times New Roman" w:hAnsi="Calibri" w:cs="Times New Roman"/>
                <w:bCs w:val="0"/>
                <w:color w:val="000000"/>
              </w:rPr>
              <w:t>Are participant records up to date and in order?  Are participants eligible to receive services?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7531F6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5, P. 120, 121, 125, 126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D232E5" w:rsidRPr="00FF4F33" w:rsidRDefault="00D232E5" w:rsidP="00D23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F5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F57E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eview hardcopy records for 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ongregate </w:t>
            </w:r>
            <w:r w:rsidR="00F57E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Home Delivered Participants </w:t>
            </w:r>
            <w:r w:rsidRPr="00532B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 ensure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that assessments are up to date and </w:t>
            </w:r>
            <w:r w:rsidRPr="00532B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that participant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 were</w:t>
            </w:r>
            <w:r w:rsidRPr="00532B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eligible to receive services in accordanc</w:t>
            </w:r>
            <w:r w:rsidR="00753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with SCDOA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policies. 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Does the nutrition program solicit the advice of a Registered Dietitian (RD)?  Is the RD currently licensed? 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C314A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500, P. 139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D23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menu approval forms and RD licensure of individual signing off.</w:t>
            </w:r>
          </w:p>
          <w:p w:rsidR="00CB5A70" w:rsidRDefault="00CB5A7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*LLR Printed confirmation </w:t>
            </w:r>
          </w:p>
          <w:p w:rsidR="00CB5A70" w:rsidRPr="00FF4F33" w:rsidRDefault="00CB5A7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(SC Labor Licensing Regulation- licensee look-up </w:t>
            </w:r>
            <w:r w:rsidRPr="00CB5A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https://llr.sc.gov/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Are participants provided with nutrition education</w:t>
            </w:r>
            <w:r w:rsidR="00505A25">
              <w:rPr>
                <w:rFonts w:ascii="Calibri" w:eastAsia="Times New Roman" w:hAnsi="Calibri" w:cs="Times New Roman"/>
                <w:color w:val="000000"/>
              </w:rPr>
              <w:t xml:space="preserve"> that has been pre-approved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26056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500, P. 140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documentation of nutrition education plan and/or materials.</w:t>
            </w:r>
            <w:r w:rsidR="00505A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3E5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Nutrition Education Reports for HD and GD.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Is</w:t>
            </w:r>
            <w:r w:rsidR="00DF0F81">
              <w:rPr>
                <w:rFonts w:ascii="Calibri" w:eastAsia="Times New Roman" w:hAnsi="Calibri" w:cs="Times New Roman"/>
                <w:color w:val="000000"/>
              </w:rPr>
              <w:t xml:space="preserve"> a referral for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 nutrition counseling available to participants?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26056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PP. CH. 500, P. 141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5E5CA7" w:rsidRDefault="00E23704" w:rsidP="00DF0F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and note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F0F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process for nutrition counseling referral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127471" w:rsidRDefault="004D4BDE" w:rsidP="0012747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127471" w:rsidRPr="003248C3">
              <w:rPr>
                <w:rFonts w:ascii="Calibri" w:eastAsia="Times New Roman" w:hAnsi="Calibri" w:cs="Times New Roman"/>
                <w:color w:val="000000"/>
              </w:rPr>
              <w:t xml:space="preserve">Are systems in place to ensure that those in greatest </w:t>
            </w:r>
            <w:r w:rsidR="00127471">
              <w:rPr>
                <w:rFonts w:ascii="Calibri" w:eastAsia="Times New Roman" w:hAnsi="Calibri" w:cs="Times New Roman"/>
                <w:color w:val="000000"/>
              </w:rPr>
              <w:t>social and economic need receive priority for services?</w:t>
            </w:r>
          </w:p>
          <w:p w:rsidR="00127471" w:rsidRDefault="00127471" w:rsidP="0012747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includes low-income minorities,</w:t>
            </w:r>
            <w:r w:rsidRPr="003248C3">
              <w:rPr>
                <w:rFonts w:ascii="Calibri" w:eastAsia="Times New Roman" w:hAnsi="Calibri" w:cs="Times New Roman"/>
                <w:color w:val="000000"/>
              </w:rPr>
              <w:t xml:space="preserve"> and those who are frail, homebound, or otherwise isolate</w:t>
            </w:r>
            <w:r>
              <w:rPr>
                <w:rFonts w:ascii="Calibri" w:eastAsia="Times New Roman" w:hAnsi="Calibri" w:cs="Times New Roman"/>
                <w:color w:val="000000"/>
              </w:rPr>
              <w:t>d.</w:t>
            </w:r>
          </w:p>
          <w:p w:rsidR="00E23704" w:rsidRDefault="00E23704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26056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PP.</w:t>
            </w:r>
            <w:r w:rsidR="008E2350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 CH. 500, P. 125, P. 134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outreach plans/efforts as well as the system for prioritizing waiting lists, where applicable.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8E2350">
              <w:rPr>
                <w:rFonts w:ascii="Calibri" w:eastAsia="Times New Roman" w:hAnsi="Calibri" w:cs="Times New Roman"/>
                <w:color w:val="000000"/>
              </w:rPr>
              <w:t>Does the AAA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 or its provider(s) complete an annual participant satisfaction survey or regularly solicit participant feedback some other way?  And are the results used to implement clearly documented program improvements?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DC73DD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PP. CH. 500, P .128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F5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e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fforts to solicit participant feedback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documentation of incorporation of feedback into program improvements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Program improvements resulting from feedback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may</w:t>
            </w:r>
            <w:r w:rsidR="00F57E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 documented in written report.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4D4BDE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Are changes to site operations communicated to </w:t>
            </w:r>
            <w:r w:rsidR="00DC73DD">
              <w:rPr>
                <w:rFonts w:ascii="Calibri" w:eastAsia="Times New Roman" w:hAnsi="Calibri" w:cs="Times New Roman"/>
                <w:color w:val="000000"/>
              </w:rPr>
              <w:t>SCDOA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4A4BCA">
              <w:rPr>
                <w:rFonts w:ascii="Calibri" w:eastAsia="Times New Roman" w:hAnsi="Calibri" w:cs="Times New Roman"/>
                <w:color w:val="000000"/>
              </w:rPr>
              <w:t xml:space="preserve">  Are permanent site closures communicated in a timely manner?</w:t>
            </w:r>
          </w:p>
          <w:p w:rsidR="00E23704" w:rsidRPr="004D4BDE" w:rsidRDefault="004D4BDE" w:rsidP="00E53CF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4B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3C7D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CDOA PP. CH 4</w:t>
            </w:r>
            <w:r w:rsidRPr="004D4B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00, </w:t>
            </w:r>
            <w:r w:rsidR="003C7D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(SEC 408), P. 93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8A5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DC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Reconcile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the provider's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(s’)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current site listing to the one held by </w:t>
            </w:r>
            <w:r w:rsidR="00DC73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Site changes should be communicated using the </w:t>
            </w:r>
            <w:r w:rsidRPr="00F66F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Change in Meal Site Operations Report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Form.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3C7DC0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DC73DD">
              <w:rPr>
                <w:rFonts w:ascii="Calibri" w:eastAsia="Times New Roman" w:hAnsi="Calibri" w:cs="Times New Roman"/>
                <w:color w:val="000000"/>
              </w:rPr>
              <w:t>Do the AAA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 and/or its provider(s) have a complaint/ grievance procedure in place?</w:t>
            </w:r>
          </w:p>
          <w:p w:rsidR="00E23704" w:rsidRDefault="00E23704" w:rsidP="00E53CFA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</w:p>
          <w:p w:rsidR="00E23704" w:rsidRPr="00FF4F33" w:rsidRDefault="003C7DC0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4</w:t>
            </w:r>
            <w:r w:rsidR="00DC73DD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00, 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(SEC 410), </w:t>
            </w:r>
            <w:r w:rsidR="00DC73DD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 xml:space="preserve">P. </w:t>
            </w: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98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5C7D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that the procedure is stated</w:t>
            </w:r>
            <w:r w:rsidR="00E77A1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policy.</w:t>
            </w:r>
            <w:r w:rsidRPr="00DC73D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E77A1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Participants should be aware of the policy.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Default="003C7DC0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77A13">
              <w:rPr>
                <w:rFonts w:ascii="Calibri" w:eastAsia="Times New Roman" w:hAnsi="Calibri" w:cs="Times New Roman"/>
                <w:color w:val="000000"/>
              </w:rPr>
              <w:t>Do the AAA</w:t>
            </w:r>
            <w:r w:rsidR="00E23704" w:rsidRPr="00FF4F33">
              <w:rPr>
                <w:rFonts w:ascii="Calibri" w:eastAsia="Times New Roman" w:hAnsi="Calibri" w:cs="Times New Roman"/>
                <w:color w:val="000000"/>
              </w:rPr>
              <w:t xml:space="preserve"> and its nutrition providers hav</w:t>
            </w:r>
            <w:r w:rsidR="00F93223">
              <w:rPr>
                <w:rFonts w:ascii="Calibri" w:eastAsia="Times New Roman" w:hAnsi="Calibri" w:cs="Times New Roman"/>
                <w:color w:val="000000"/>
              </w:rPr>
              <w:t>e a system of controls to ensure the safeguarding of voluntary contributions?</w:t>
            </w:r>
          </w:p>
          <w:p w:rsidR="00E23704" w:rsidRPr="003C7DC0" w:rsidRDefault="003C7DC0" w:rsidP="003C7DC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C7D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 PP CH. 500, P.128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vAlign w:val="center"/>
            <w:hideMark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3E01AA" w:rsidRPr="00FF4F33" w:rsidRDefault="003E01AA" w:rsidP="003E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that the AAA</w:t>
            </w:r>
            <w:r w:rsidR="00E237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its providers have a documented system of internal control</w:t>
            </w:r>
            <w:r w:rsidR="00F932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 policies and procedures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C7DC0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hideMark/>
          </w:tcPr>
          <w:p w:rsidR="005C7DC0" w:rsidRDefault="005C7DC0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>Have previous findings been resolved?</w:t>
            </w: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10C5C" w:rsidRDefault="00E10C5C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C7DC0" w:rsidRPr="00FF4F33" w:rsidRDefault="005C7DC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2D5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2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E32D5" w:rsidRPr="003F0C63" w:rsidRDefault="00E96297" w:rsidP="005E32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lastRenderedPageBreak/>
              <w:t>AAA</w:t>
            </w:r>
            <w:r w:rsidR="005E32D5" w:rsidRPr="003F0C63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-Identified Monitoring Items</w:t>
            </w:r>
          </w:p>
        </w:tc>
      </w:tr>
      <w:tr w:rsidR="005C7DC0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5C7DC0" w:rsidRPr="00FF4F33" w:rsidRDefault="005C7DC0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DC0" w:rsidRPr="00FF4F33" w:rsidRDefault="005C7DC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3223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F93223" w:rsidRPr="00FF4F33" w:rsidRDefault="00F9322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93223" w:rsidRPr="00FF4F33" w:rsidRDefault="00F93223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3223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F93223" w:rsidRPr="00FF4F33" w:rsidRDefault="00F9322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93223" w:rsidRPr="00FF4F33" w:rsidRDefault="00F93223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3223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F93223" w:rsidRPr="00FF4F33" w:rsidRDefault="00F9322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93223" w:rsidRPr="00FF4F33" w:rsidRDefault="00F93223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94693" w:rsidRPr="00396CA3" w:rsidRDefault="00494693">
      <w:pPr>
        <w:rPr>
          <w:sz w:val="2"/>
          <w:szCs w:val="2"/>
        </w:rPr>
      </w:pPr>
    </w:p>
    <w:sectPr w:rsidR="00494693" w:rsidRPr="00396CA3" w:rsidSect="00E82E0E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CA" w:rsidRDefault="004A4BCA" w:rsidP="005662D0">
      <w:pPr>
        <w:spacing w:after="0" w:line="240" w:lineRule="auto"/>
      </w:pPr>
      <w:r>
        <w:separator/>
      </w:r>
    </w:p>
  </w:endnote>
  <w:endnote w:type="continuationSeparator" w:id="0">
    <w:p w:rsidR="004A4BCA" w:rsidRDefault="004A4BCA" w:rsidP="0056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892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2313" w:rsidRDefault="00C22313" w:rsidP="00C22313">
            <w:pPr>
              <w:pStyle w:val="Footer"/>
            </w:pPr>
            <w:r w:rsidRPr="00C22313">
              <w:rPr>
                <w:b/>
              </w:rPr>
              <w:t>Revised 3-4-2021</w:t>
            </w:r>
            <w:r>
              <w:t xml:space="preserve">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6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6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2D0" w:rsidRDefault="0056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CA" w:rsidRDefault="004A4BCA" w:rsidP="005662D0">
      <w:pPr>
        <w:spacing w:after="0" w:line="240" w:lineRule="auto"/>
      </w:pPr>
      <w:r>
        <w:separator/>
      </w:r>
    </w:p>
  </w:footnote>
  <w:footnote w:type="continuationSeparator" w:id="0">
    <w:p w:rsidR="004A4BCA" w:rsidRDefault="004A4BCA" w:rsidP="0056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DB" w:rsidRDefault="004F10DB">
    <w:pPr>
      <w:pStyle w:val="Header"/>
    </w:pPr>
  </w:p>
  <w:p w:rsidR="004F10DB" w:rsidRPr="004F10DB" w:rsidRDefault="004F10DB">
    <w:pPr>
      <w:pStyle w:val="Header"/>
      <w:rPr>
        <w:b/>
      </w:rPr>
    </w:pPr>
    <w:r w:rsidRPr="004F10DB">
      <w:rPr>
        <w:b/>
      </w:rPr>
      <w:t xml:space="preserve">                                                                                                                                                                                 C – Compliant, NC- Noncompliance, NA- Not Applicable</w:t>
    </w:r>
  </w:p>
  <w:p w:rsidR="00E10C5C" w:rsidRDefault="00E1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A"/>
    <w:rsid w:val="000923F3"/>
    <w:rsid w:val="000E0261"/>
    <w:rsid w:val="00127471"/>
    <w:rsid w:val="001C50DA"/>
    <w:rsid w:val="002147C4"/>
    <w:rsid w:val="00231160"/>
    <w:rsid w:val="00260569"/>
    <w:rsid w:val="00296128"/>
    <w:rsid w:val="00344A19"/>
    <w:rsid w:val="00396CA3"/>
    <w:rsid w:val="003C7DC0"/>
    <w:rsid w:val="003E01AA"/>
    <w:rsid w:val="003E561B"/>
    <w:rsid w:val="003F0C63"/>
    <w:rsid w:val="00494693"/>
    <w:rsid w:val="004A4BCA"/>
    <w:rsid w:val="004D4BDE"/>
    <w:rsid w:val="004F10DB"/>
    <w:rsid w:val="00505A25"/>
    <w:rsid w:val="00513E61"/>
    <w:rsid w:val="005229B0"/>
    <w:rsid w:val="005337C0"/>
    <w:rsid w:val="005662D0"/>
    <w:rsid w:val="0057489A"/>
    <w:rsid w:val="005C7DC0"/>
    <w:rsid w:val="005E32D5"/>
    <w:rsid w:val="00654196"/>
    <w:rsid w:val="00681B27"/>
    <w:rsid w:val="006821C6"/>
    <w:rsid w:val="00682785"/>
    <w:rsid w:val="006F042E"/>
    <w:rsid w:val="007531F6"/>
    <w:rsid w:val="007802D6"/>
    <w:rsid w:val="008446E2"/>
    <w:rsid w:val="00862302"/>
    <w:rsid w:val="008A5705"/>
    <w:rsid w:val="008E2350"/>
    <w:rsid w:val="00923D6E"/>
    <w:rsid w:val="0093380D"/>
    <w:rsid w:val="009620E9"/>
    <w:rsid w:val="009A2B6F"/>
    <w:rsid w:val="009A5C8E"/>
    <w:rsid w:val="00A23412"/>
    <w:rsid w:val="00A55F51"/>
    <w:rsid w:val="00B066F4"/>
    <w:rsid w:val="00BD5190"/>
    <w:rsid w:val="00C16FBE"/>
    <w:rsid w:val="00C22313"/>
    <w:rsid w:val="00C314A9"/>
    <w:rsid w:val="00C8298D"/>
    <w:rsid w:val="00C82AF9"/>
    <w:rsid w:val="00CB5A70"/>
    <w:rsid w:val="00CC7477"/>
    <w:rsid w:val="00D21608"/>
    <w:rsid w:val="00D232E5"/>
    <w:rsid w:val="00DA18E3"/>
    <w:rsid w:val="00DC73DD"/>
    <w:rsid w:val="00DF0F81"/>
    <w:rsid w:val="00E10C5C"/>
    <w:rsid w:val="00E12011"/>
    <w:rsid w:val="00E23704"/>
    <w:rsid w:val="00E77A13"/>
    <w:rsid w:val="00E82E0E"/>
    <w:rsid w:val="00E96297"/>
    <w:rsid w:val="00EA4BE8"/>
    <w:rsid w:val="00F57E7B"/>
    <w:rsid w:val="00F606A8"/>
    <w:rsid w:val="00F93223"/>
    <w:rsid w:val="00F94615"/>
    <w:rsid w:val="00F961BA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D2D001D"/>
  <w15:docId w15:val="{2834D4B7-5D18-46AB-ACE0-F32D3F2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04"/>
  </w:style>
  <w:style w:type="paragraph" w:styleId="Heading1">
    <w:name w:val="heading 1"/>
    <w:basedOn w:val="Normal"/>
    <w:next w:val="Normal"/>
    <w:link w:val="Heading1Char"/>
    <w:uiPriority w:val="9"/>
    <w:rsid w:val="00E2370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04"/>
    <w:rPr>
      <w:rFonts w:eastAsiaTheme="majorEastAsia" w:cstheme="majorBidi"/>
      <w:b/>
      <w:bCs/>
      <w:color w:val="000000" w:themeColor="text1"/>
      <w:sz w:val="36"/>
      <w:szCs w:val="28"/>
    </w:rPr>
  </w:style>
  <w:style w:type="table" w:styleId="LightGrid">
    <w:name w:val="Light Grid"/>
    <w:basedOn w:val="TableNormal"/>
    <w:uiPriority w:val="62"/>
    <w:rsid w:val="00E237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3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D0"/>
  </w:style>
  <w:style w:type="paragraph" w:styleId="Footer">
    <w:name w:val="footer"/>
    <w:basedOn w:val="Normal"/>
    <w:link w:val="FooterChar"/>
    <w:uiPriority w:val="99"/>
    <w:unhideWhenUsed/>
    <w:rsid w:val="0056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D0"/>
  </w:style>
  <w:style w:type="paragraph" w:styleId="BalloonText">
    <w:name w:val="Balloon Text"/>
    <w:basedOn w:val="Normal"/>
    <w:link w:val="BalloonTextChar"/>
    <w:uiPriority w:val="99"/>
    <w:semiHidden/>
    <w:unhideWhenUsed/>
    <w:rsid w:val="0056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7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pport\Numbered%20Memos%20(PIs)\PI\2015-2016%20directory\TCAD%20PI%202016%2006%20Service%20Provider%20Monitoring%20Tools\Revised%20Monitoring%20Tools%20Feb%202016\Nutrition%20Tools%20Rev%20122015\App%20I%20AAAD%20Monitoring%20Tool%2012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758E-63BE-4462-8087-E43FD24F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I AAAD Monitoring Tool 122015</Template>
  <TotalTime>51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Russell</dc:creator>
  <cp:lastModifiedBy>Rowan Goodrich</cp:lastModifiedBy>
  <cp:revision>15</cp:revision>
  <cp:lastPrinted>2020-08-19T13:14:00Z</cp:lastPrinted>
  <dcterms:created xsi:type="dcterms:W3CDTF">2020-08-25T20:58:00Z</dcterms:created>
  <dcterms:modified xsi:type="dcterms:W3CDTF">2021-03-04T20:22:00Z</dcterms:modified>
</cp:coreProperties>
</file>